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0"/>
        <w:rPr>
          <w:rFonts w:eastAsia="华文新魏"/>
          <w:b/>
          <w:spacing w:val="-70"/>
          <w:sz w:val="72"/>
          <w:szCs w:val="72"/>
        </w:rPr>
      </w:pPr>
    </w:p>
    <w:p>
      <w:pPr>
        <w:pStyle w:val="80"/>
        <w:rPr>
          <w:rFonts w:eastAsia="华文新魏"/>
          <w:b/>
          <w:spacing w:val="-70"/>
          <w:sz w:val="72"/>
          <w:szCs w:val="72"/>
        </w:rPr>
      </w:pPr>
    </w:p>
    <w:p>
      <w:pPr>
        <w:pStyle w:val="80"/>
        <w:rPr>
          <w:rFonts w:eastAsia="华文新魏"/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广元市公共资源交易平台</w:t>
      </w:r>
    </w:p>
    <w:p>
      <w:pPr>
        <w:ind w:firstLine="0" w:firstLineChars="0"/>
        <w:jc w:val="center"/>
        <w:rPr>
          <w:rFonts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土地矿权竞买人操作手册</w:t>
      </w: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0" w:firstLineChars="0"/>
      </w:pPr>
    </w:p>
    <w:p>
      <w:pPr>
        <w:pStyle w:val="56"/>
        <w:ind w:firstLine="0" w:firstLineChars="0"/>
      </w:pPr>
    </w:p>
    <w:p>
      <w:pPr>
        <w:pStyle w:val="56"/>
        <w:ind w:firstLine="0" w:firstLineChars="0"/>
      </w:pPr>
    </w:p>
    <w:p>
      <w:pPr>
        <w:pStyle w:val="56"/>
        <w:ind w:firstLine="0" w:firstLineChars="0"/>
      </w:pPr>
    </w:p>
    <w:p>
      <w:pPr>
        <w:pStyle w:val="56"/>
        <w:ind w:firstLine="0" w:firstLineChars="0"/>
      </w:pPr>
    </w:p>
    <w:p>
      <w:pPr>
        <w:pStyle w:val="56"/>
        <w:ind w:firstLine="0" w:firstLineChars="0"/>
      </w:pPr>
      <w:bookmarkStart w:id="63" w:name="_GoBack"/>
      <w:bookmarkEnd w:id="63"/>
    </w:p>
    <w:p>
      <w:pPr>
        <w:pStyle w:val="56"/>
        <w:ind w:firstLine="0" w:firstLineChars="0"/>
      </w:pPr>
    </w:p>
    <w:p>
      <w:pPr>
        <w:pStyle w:val="56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8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</w:instrText>
      </w:r>
      <w:r>
        <w:rPr>
          <w:rFonts w:ascii="Calibri" w:hAnsi="Calibri"/>
        </w:rPr>
        <w:fldChar w:fldCharType="separate"/>
      </w:r>
      <w:r>
        <w:fldChar w:fldCharType="begin"/>
      </w:r>
      <w:r>
        <w:instrText xml:space="preserve"> HYPERLINK \l "_Toc18631" </w:instrText>
      </w:r>
      <w: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_Toc18631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"_Toc31175" </w:instrText>
      </w:r>
      <w:r>
        <w:fldChar w:fldCharType="separate"/>
      </w:r>
      <w:r>
        <w:rPr>
          <w:rFonts w:cs="Times New Roman"/>
          <w:szCs w:val="30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_Toc31175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"_Toc22820" </w:instrText>
      </w:r>
      <w:r>
        <w:fldChar w:fldCharType="separate"/>
      </w:r>
      <w:r>
        <w:rPr>
          <w:rFonts w:cs="Times New Roman"/>
          <w:iCs w:val="0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_Toc22820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"_Toc16165" </w:instrText>
      </w:r>
      <w:r>
        <w:fldChar w:fldCharType="separate"/>
      </w:r>
      <w:r>
        <w:rPr>
          <w:rFonts w:cs="Times New Roman"/>
          <w:szCs w:val="30"/>
        </w:rPr>
        <w:t xml:space="preserve">1.2、 </w:t>
      </w:r>
      <w:r>
        <w:t>检测工具</w:t>
      </w:r>
      <w:r>
        <w:rPr>
          <w:rFonts w:hint="eastAsia"/>
        </w:rPr>
        <w:t>（未配有CA锁，不能进行检测）</w:t>
      </w:r>
      <w:r>
        <w:tab/>
      </w:r>
      <w:r>
        <w:fldChar w:fldCharType="begin"/>
      </w:r>
      <w:r>
        <w:instrText xml:space="preserve"> PAGEREF _Toc16165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"_Toc12102" </w:instrText>
      </w:r>
      <w:r>
        <w:fldChar w:fldCharType="separate"/>
      </w:r>
      <w:r>
        <w:rPr>
          <w:rFonts w:cs="Times New Roman"/>
          <w:iCs w:val="0"/>
        </w:rPr>
        <w:t xml:space="preserve">1.2.1、 </w:t>
      </w:r>
      <w:r>
        <w:t>启动检测工具</w:t>
      </w:r>
      <w:r>
        <w:tab/>
      </w:r>
      <w:r>
        <w:fldChar w:fldCharType="begin"/>
      </w:r>
      <w:r>
        <w:instrText xml:space="preserve"> PAGEREF _Toc12102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"_Toc11556" </w:instrText>
      </w:r>
      <w:r>
        <w:fldChar w:fldCharType="separate"/>
      </w:r>
      <w:r>
        <w:rPr>
          <w:rFonts w:cs="Times New Roman"/>
          <w:iCs w:val="0"/>
        </w:rPr>
        <w:t xml:space="preserve">1.2.2、 </w:t>
      </w:r>
      <w:r>
        <w:t>系统检测</w:t>
      </w:r>
      <w:r>
        <w:tab/>
      </w:r>
      <w:r>
        <w:fldChar w:fldCharType="begin"/>
      </w:r>
      <w:r>
        <w:instrText xml:space="preserve"> PAGEREF _Toc11556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"_Toc27324" </w:instrText>
      </w:r>
      <w:r>
        <w:fldChar w:fldCharType="separate"/>
      </w:r>
      <w:r>
        <w:rPr>
          <w:rFonts w:cs="Times New Roman"/>
          <w:iCs w:val="0"/>
        </w:rPr>
        <w:t xml:space="preserve">1.2.3、 </w:t>
      </w:r>
      <w:r>
        <w:t>控件检测</w:t>
      </w:r>
      <w:r>
        <w:tab/>
      </w:r>
      <w:r>
        <w:fldChar w:fldCharType="begin"/>
      </w:r>
      <w:r>
        <w:instrText xml:space="preserve"> PAGEREF _Toc27324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"_Toc26257" </w:instrText>
      </w:r>
      <w:r>
        <w:fldChar w:fldCharType="separate"/>
      </w:r>
      <w:r>
        <w:rPr>
          <w:rFonts w:cs="Times New Roman"/>
          <w:iCs w:val="0"/>
        </w:rPr>
        <w:t xml:space="preserve">1.2.4、 </w:t>
      </w:r>
      <w:r>
        <w:t>证书检测</w:t>
      </w:r>
      <w:r>
        <w:tab/>
      </w:r>
      <w:r>
        <w:fldChar w:fldCharType="begin"/>
      </w:r>
      <w:r>
        <w:instrText xml:space="preserve"> PAGEREF _Toc26257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"_Toc1703" </w:instrText>
      </w:r>
      <w:r>
        <w:fldChar w:fldCharType="separate"/>
      </w:r>
      <w:r>
        <w:rPr>
          <w:rFonts w:cs="Times New Roman"/>
          <w:iCs w:val="0"/>
        </w:rPr>
        <w:t xml:space="preserve">1.2.5、 </w:t>
      </w:r>
      <w:r>
        <w:t>签章检测</w:t>
      </w:r>
      <w:r>
        <w:tab/>
      </w:r>
      <w:r>
        <w:fldChar w:fldCharType="begin"/>
      </w:r>
      <w:r>
        <w:instrText xml:space="preserve"> PAGEREF _Toc1703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"_Toc5968" </w:instrText>
      </w:r>
      <w:r>
        <w:fldChar w:fldCharType="separate"/>
      </w:r>
      <w:r>
        <w:rPr>
          <w:rFonts w:cs="Times New Roman"/>
          <w:szCs w:val="30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_Toc5968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"_Toc20358" </w:instrText>
      </w:r>
      <w:r>
        <w:fldChar w:fldCharType="separate"/>
      </w:r>
      <w:r>
        <w:rPr>
          <w:rFonts w:cs="Times New Roman"/>
          <w:iCs w:val="0"/>
        </w:rPr>
        <w:t xml:space="preserve">1.3.1、 </w:t>
      </w:r>
      <w:r>
        <w:t>Internet选项</w:t>
      </w:r>
      <w:r>
        <w:tab/>
      </w:r>
      <w:r>
        <w:fldChar w:fldCharType="begin"/>
      </w:r>
      <w:r>
        <w:instrText xml:space="preserve"> PAGEREF _Toc20358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12"/>
        </w:tabs>
        <w:ind w:firstLine="840"/>
      </w:pPr>
      <w:r>
        <w:fldChar w:fldCharType="begin"/>
      </w:r>
      <w:r>
        <w:instrText xml:space="preserve"> HYPERLINK \l "_Toc29058" </w:instrText>
      </w:r>
      <w:r>
        <w:fldChar w:fldCharType="separate"/>
      </w:r>
      <w:r>
        <w:rPr>
          <w:rFonts w:cs="Times New Roman"/>
          <w:iCs w:val="0"/>
        </w:rPr>
        <w:t xml:space="preserve">1.3.2、 </w:t>
      </w:r>
      <w:r>
        <w:t>关闭拦截工具</w:t>
      </w:r>
      <w:r>
        <w:tab/>
      </w:r>
      <w:r>
        <w:fldChar w:fldCharType="begin"/>
      </w:r>
      <w:r>
        <w:instrText xml:space="preserve"> PAGEREF _Toc29058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8"/>
        <w:tabs>
          <w:tab w:val="right" w:leader="dot" w:pos="8312"/>
        </w:tabs>
      </w:pPr>
      <w:r>
        <w:fldChar w:fldCharType="begin"/>
      </w:r>
      <w:r>
        <w:instrText xml:space="preserve"> HYPERLINK \l "_Toc20514" </w:instrText>
      </w:r>
      <w:r>
        <w:fldChar w:fldCharType="separate"/>
      </w:r>
      <w:r>
        <w:rPr>
          <w:rFonts w:hint="eastAsia"/>
        </w:rPr>
        <w:t>二、 土地拍卖</w:t>
      </w:r>
      <w:r>
        <w:tab/>
      </w:r>
      <w:r>
        <w:fldChar w:fldCharType="begin"/>
      </w:r>
      <w:r>
        <w:instrText xml:space="preserve"> PAGEREF _Toc20514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"_Toc14644" </w:instrText>
      </w:r>
      <w:r>
        <w:fldChar w:fldCharType="separate"/>
      </w:r>
      <w:r>
        <w:rPr>
          <w:rFonts w:cs="Times New Roman"/>
          <w:szCs w:val="30"/>
        </w:rPr>
        <w:t xml:space="preserve">2.1、 </w:t>
      </w:r>
      <w:r>
        <w:rPr>
          <w:rFonts w:hint="eastAsia"/>
        </w:rPr>
        <w:t>土地申购</w:t>
      </w:r>
      <w:r>
        <w:tab/>
      </w:r>
      <w:r>
        <w:fldChar w:fldCharType="begin"/>
      </w:r>
      <w:r>
        <w:instrText xml:space="preserve"> PAGEREF _Toc14644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"_Toc14106" </w:instrText>
      </w:r>
      <w:r>
        <w:fldChar w:fldCharType="separate"/>
      </w:r>
      <w:r>
        <w:rPr>
          <w:rFonts w:cs="Times New Roman"/>
          <w:szCs w:val="30"/>
        </w:rPr>
        <w:t xml:space="preserve">2.2、 </w:t>
      </w:r>
      <w:r>
        <w:rPr>
          <w:rFonts w:hint="eastAsia"/>
        </w:rPr>
        <w:t>下载出让文件</w:t>
      </w:r>
      <w:r>
        <w:tab/>
      </w:r>
      <w:r>
        <w:fldChar w:fldCharType="begin"/>
      </w:r>
      <w:r>
        <w:instrText xml:space="preserve"> PAGEREF _Toc14106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"_Toc31300" </w:instrText>
      </w:r>
      <w:r>
        <w:fldChar w:fldCharType="separate"/>
      </w:r>
      <w:r>
        <w:rPr>
          <w:rFonts w:cs="Times New Roman"/>
          <w:szCs w:val="30"/>
        </w:rPr>
        <w:t xml:space="preserve">2.3、 </w:t>
      </w:r>
      <w:r>
        <w:rPr>
          <w:rFonts w:hint="eastAsia"/>
        </w:rPr>
        <w:t>上传竞买资格申请</w:t>
      </w:r>
      <w:r>
        <w:tab/>
      </w:r>
      <w:r>
        <w:fldChar w:fldCharType="begin"/>
      </w:r>
      <w:r>
        <w:instrText xml:space="preserve"> PAGEREF _Toc31300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"_Toc422" </w:instrText>
      </w:r>
      <w:r>
        <w:fldChar w:fldCharType="separate"/>
      </w:r>
      <w:r>
        <w:rPr>
          <w:rFonts w:cs="Times New Roman"/>
          <w:szCs w:val="30"/>
        </w:rPr>
        <w:t xml:space="preserve">2.4、 </w:t>
      </w:r>
      <w:r>
        <w:rPr>
          <w:rFonts w:hint="eastAsia"/>
        </w:rPr>
        <w:t>网员报价</w:t>
      </w:r>
      <w:r>
        <w:tab/>
      </w:r>
      <w:r>
        <w:fldChar w:fldCharType="begin"/>
      </w:r>
      <w:r>
        <w:instrText xml:space="preserve"> PAGEREF _Toc422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"_Toc8851" </w:instrText>
      </w:r>
      <w:r>
        <w:fldChar w:fldCharType="separate"/>
      </w:r>
      <w:r>
        <w:rPr>
          <w:rFonts w:cs="Times New Roman"/>
          <w:szCs w:val="30"/>
        </w:rPr>
        <w:t xml:space="preserve">2.5、 </w:t>
      </w:r>
      <w:r>
        <w:rPr>
          <w:rFonts w:hint="eastAsia"/>
        </w:rPr>
        <w:t>报价历史记录</w:t>
      </w:r>
      <w:r>
        <w:tab/>
      </w:r>
      <w:r>
        <w:fldChar w:fldCharType="begin"/>
      </w:r>
      <w:r>
        <w:instrText xml:space="preserve"> PAGEREF _Toc8851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12"/>
        </w:tabs>
        <w:ind w:firstLine="420"/>
      </w:pPr>
      <w:r>
        <w:fldChar w:fldCharType="begin"/>
      </w:r>
      <w:r>
        <w:instrText xml:space="preserve"> HYPERLINK \l "_Toc23936" </w:instrText>
      </w:r>
      <w:r>
        <w:fldChar w:fldCharType="separate"/>
      </w:r>
      <w:r>
        <w:rPr>
          <w:rFonts w:cs="Times New Roman"/>
          <w:szCs w:val="30"/>
        </w:rPr>
        <w:t xml:space="preserve">2.6、 </w:t>
      </w:r>
      <w:r>
        <w:rPr>
          <w:rFonts w:hint="eastAsia"/>
        </w:rPr>
        <w:t>成交确认书</w:t>
      </w:r>
      <w:r>
        <w:tab/>
      </w:r>
      <w:r>
        <w:fldChar w:fldCharType="begin"/>
      </w:r>
      <w:r>
        <w:instrText xml:space="preserve"> PAGEREF _Toc23936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56"/>
        <w:spacing w:line="240" w:lineRule="auto"/>
        <w:ind w:firstLine="36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fldChar w:fldCharType="end"/>
      </w:r>
      <w:r>
        <w:rPr>
          <w:rFonts w:ascii="Calibri" w:hAnsi="Calibri" w:cs="Calibri"/>
          <w:szCs w:val="20"/>
        </w:rPr>
        <w:br w:type="page"/>
      </w:r>
    </w:p>
    <w:p>
      <w:pPr>
        <w:pStyle w:val="2"/>
      </w:pPr>
      <w:bookmarkStart w:id="0" w:name="_Toc346183627"/>
      <w:bookmarkStart w:id="1" w:name="_Toc404243487"/>
      <w:bookmarkStart w:id="2" w:name="_Toc346701609"/>
      <w:bookmarkStart w:id="3" w:name="_Toc404764406"/>
      <w:bookmarkStart w:id="4" w:name="_Toc18631"/>
      <w:bookmarkStart w:id="5" w:name="_Toc225152729"/>
      <w:r>
        <w:t>系统前期准备</w:t>
      </w:r>
      <w:bookmarkEnd w:id="0"/>
      <w:bookmarkEnd w:id="1"/>
      <w:bookmarkEnd w:id="2"/>
      <w:bookmarkEnd w:id="3"/>
      <w:bookmarkEnd w:id="4"/>
    </w:p>
    <w:p>
      <w:pPr>
        <w:pStyle w:val="3"/>
      </w:pPr>
      <w:bookmarkStart w:id="6" w:name="_Toc346701610"/>
      <w:bookmarkStart w:id="7" w:name="_Toc10353"/>
      <w:bookmarkStart w:id="8" w:name="_Toc404243488"/>
      <w:bookmarkStart w:id="9" w:name="_Toc535396696"/>
      <w:bookmarkStart w:id="10" w:name="_Toc346183628"/>
      <w:bookmarkStart w:id="11" w:name="_Toc404765183"/>
      <w:bookmarkStart w:id="12" w:name="_Toc404764407"/>
      <w:r>
        <w:t>驱动安装说明</w:t>
      </w:r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4"/>
      </w:pPr>
      <w:bookmarkStart w:id="13" w:name="_Toc27421"/>
      <w:bookmarkStart w:id="14" w:name="_Toc404765184"/>
      <w:bookmarkStart w:id="15" w:name="_Toc346183629"/>
      <w:bookmarkStart w:id="16" w:name="_Toc404764408"/>
      <w:bookmarkStart w:id="17" w:name="_Toc346701611"/>
      <w:bookmarkStart w:id="18" w:name="_Toc535396697"/>
      <w:bookmarkStart w:id="19" w:name="_Toc404243489"/>
      <w: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</w:p>
    <w:p>
      <w:pPr>
        <w:ind w:firstLine="420"/>
      </w:pPr>
      <w:r>
        <w:rPr>
          <w:rFonts w:hint="eastAsia"/>
        </w:rPr>
        <w:t>1、</w:t>
      </w:r>
      <w:r>
        <w:t>双击安装程序</w:t>
      </w:r>
      <w:r>
        <w:drawing>
          <wp:inline distT="0" distB="0" distL="0" distR="0">
            <wp:extent cx="657225" cy="923925"/>
            <wp:effectExtent l="0" t="0" r="9525" b="952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，进入安装页面。</w:t>
      </w:r>
      <w:r>
        <w:rPr>
          <w:rFonts w:hint="eastAsia"/>
        </w:rPr>
        <w:t>（安装过程请勿打开浏览器）</w:t>
      </w:r>
    </w:p>
    <w:p>
      <w:pPr>
        <w:autoSpaceDE w:val="0"/>
        <w:autoSpaceDN w:val="0"/>
        <w:adjustRightInd w:val="0"/>
        <w:ind w:right="-20" w:firstLine="0" w:firstLineChars="0"/>
        <w:rPr>
          <w:spacing w:val="4"/>
        </w:rPr>
      </w:pPr>
      <w:r>
        <w:drawing>
          <wp:inline distT="0" distB="0" distL="0" distR="0">
            <wp:extent cx="5278120" cy="396240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2、点击</w:t>
      </w:r>
      <w:r>
        <w:rPr>
          <w:rFonts w:hint="eastAsia"/>
        </w:rPr>
        <w:t>“快速安装”或者自定义安装选择安装目录</w:t>
      </w:r>
      <w:r>
        <w:t>，进入</w:t>
      </w:r>
      <w:r>
        <w:rPr>
          <w:rFonts w:hint="eastAsia"/>
        </w:rPr>
        <w:t>安装</w:t>
      </w:r>
      <w:r>
        <w:t>页面。</w:t>
      </w:r>
    </w:p>
    <w:p>
      <w:pPr>
        <w:ind w:firstLine="0" w:firstLineChars="0"/>
      </w:pPr>
    </w:p>
    <w:p>
      <w:pPr>
        <w:ind w:firstLine="0" w:firstLineChars="0"/>
        <w:rPr>
          <w:spacing w:val="4"/>
          <w:sz w:val="24"/>
        </w:rPr>
      </w:pPr>
      <w:r>
        <w:drawing>
          <wp:inline distT="0" distB="0" distL="0" distR="0">
            <wp:extent cx="5276850" cy="3962400"/>
            <wp:effectExtent l="0" t="0" r="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ind w:firstLine="420" w:firstLineChars="200"/>
        <w:rPr>
          <w:b/>
          <w:spacing w:val="4"/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sz w:val="21"/>
          <w:szCs w:val="21"/>
        </w:rPr>
        <w:t>、运行完毕后，驱动安装成功</w:t>
      </w:r>
      <w:r>
        <w:rPr>
          <w:rFonts w:hint="eastAsia"/>
          <w:sz w:val="21"/>
          <w:szCs w:val="21"/>
        </w:rPr>
        <w:t>。</w:t>
      </w:r>
    </w:p>
    <w:p>
      <w:pPr>
        <w:pStyle w:val="3"/>
      </w:pPr>
      <w:bookmarkStart w:id="20" w:name="_Toc404243493"/>
      <w:bookmarkStart w:id="21" w:name="_Toc22643"/>
      <w:bookmarkStart w:id="22" w:name="_Toc346701615"/>
      <w:bookmarkStart w:id="23" w:name="_Toc404765188"/>
      <w:bookmarkStart w:id="24" w:name="_Toc404764412"/>
      <w:bookmarkStart w:id="25" w:name="_Toc535396698"/>
      <w:bookmarkStart w:id="26" w:name="_Toc346183633"/>
      <w:r>
        <w:t>检测工具</w:t>
      </w:r>
      <w:bookmarkEnd w:id="20"/>
      <w:bookmarkEnd w:id="21"/>
      <w:bookmarkEnd w:id="22"/>
      <w:bookmarkEnd w:id="23"/>
      <w:bookmarkEnd w:id="24"/>
      <w:bookmarkEnd w:id="25"/>
      <w:bookmarkEnd w:id="26"/>
    </w:p>
    <w:p>
      <w:pPr>
        <w:pStyle w:val="4"/>
        <w:widowControl/>
      </w:pPr>
      <w:bookmarkStart w:id="27" w:name="_Toc31314"/>
      <w:bookmarkStart w:id="28" w:name="_Toc404765189"/>
      <w:bookmarkStart w:id="29" w:name="_Toc346183634"/>
      <w:bookmarkStart w:id="30" w:name="_Toc346701616"/>
      <w:bookmarkStart w:id="31" w:name="_Toc535396699"/>
      <w:bookmarkStart w:id="32" w:name="_Toc404764413"/>
      <w:bookmarkStart w:id="33" w:name="_Toc404243494"/>
      <w:r>
        <w:t>启动检测工具</w:t>
      </w:r>
      <w:bookmarkEnd w:id="27"/>
      <w:bookmarkEnd w:id="28"/>
      <w:bookmarkEnd w:id="29"/>
      <w:bookmarkEnd w:id="30"/>
      <w:bookmarkEnd w:id="31"/>
      <w:bookmarkEnd w:id="32"/>
      <w:bookmarkEnd w:id="33"/>
    </w:p>
    <w:p>
      <w:pPr>
        <w:pStyle w:val="56"/>
        <w:ind w:firstLine="0" w:firstLineChars="0"/>
        <w:rPr>
          <w:sz w:val="21"/>
          <w:szCs w:val="21"/>
        </w:rPr>
      </w:pPr>
      <w:r>
        <w:rPr>
          <w:sz w:val="21"/>
          <w:szCs w:val="21"/>
        </w:rPr>
        <w:t>用户可以点击桌面上的检测工具图标</w:t>
      </w:r>
      <w:r>
        <w:drawing>
          <wp:inline distT="0" distB="0" distL="0" distR="0">
            <wp:extent cx="731520" cy="914400"/>
            <wp:effectExtent l="0" t="0" r="11430" b="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>来启动检测工具</w:t>
      </w:r>
      <w:r>
        <w:rPr>
          <w:rFonts w:hint="eastAsia"/>
          <w:sz w:val="21"/>
          <w:szCs w:val="21"/>
        </w:rPr>
        <w:t>。</w:t>
      </w:r>
    </w:p>
    <w:p>
      <w:pPr>
        <w:ind w:firstLine="420"/>
      </w:pPr>
    </w:p>
    <w:p>
      <w:pPr>
        <w:pStyle w:val="4"/>
        <w:ind w:left="1072" w:hanging="1072"/>
      </w:pPr>
      <w:bookmarkStart w:id="34" w:name="_Toc535396700"/>
      <w:r>
        <w:t>系统检测</w:t>
      </w:r>
      <w:bookmarkEnd w:id="34"/>
    </w:p>
    <w:p>
      <w:pPr>
        <w:ind w:firstLine="0" w:firstLineChars="0"/>
      </w:pPr>
      <w:r>
        <w:drawing>
          <wp:inline distT="0" distB="0" distL="0" distR="0">
            <wp:extent cx="5278120" cy="3343275"/>
            <wp:effectExtent l="0" t="0" r="0" b="952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1、点击“一键检测”按钮，提示插入C</w:t>
      </w:r>
      <w:r>
        <w:rPr>
          <w:spacing w:val="4"/>
        </w:rPr>
        <w:t>A</w:t>
      </w:r>
      <w:r>
        <w:rPr>
          <w:rFonts w:hint="eastAsia"/>
          <w:spacing w:val="4"/>
        </w:rPr>
        <w:t>锁，如图所示：</w:t>
      </w:r>
    </w:p>
    <w:p>
      <w:pPr>
        <w:ind w:firstLine="0" w:firstLineChars="0"/>
      </w:pPr>
      <w:r>
        <w:drawing>
          <wp:inline distT="0" distB="0" distL="0" distR="0">
            <wp:extent cx="5276850" cy="3333750"/>
            <wp:effectExtent l="0" t="0" r="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2、检测工具会自动对CA进行检测，如图所示：</w:t>
      </w:r>
    </w:p>
    <w:p>
      <w:pPr>
        <w:ind w:firstLine="0" w:firstLineChars="0"/>
      </w:pPr>
      <w:r>
        <w:drawing>
          <wp:inline distT="0" distB="0" distL="0" distR="0">
            <wp:extent cx="5267325" cy="3324225"/>
            <wp:effectExtent l="0" t="0" r="9525" b="9525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</w:pPr>
      <w:r>
        <w:rPr>
          <w:rFonts w:hint="eastAsia"/>
          <w:spacing w:val="4"/>
        </w:rPr>
        <w:t>3、检测通过，可一键登陆系统，会自动跳转到会员端登陆页面，如图所示：</w:t>
      </w:r>
      <w:r>
        <w:drawing>
          <wp:inline distT="0" distB="0" distL="0" distR="0">
            <wp:extent cx="5286375" cy="2400300"/>
            <wp:effectExtent l="0" t="0" r="9525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  <w:ind w:left="1072" w:hanging="1072"/>
      </w:pPr>
      <w:bookmarkStart w:id="35" w:name="_Toc346183637"/>
      <w:bookmarkStart w:id="36" w:name="_Toc346701619"/>
      <w:bookmarkStart w:id="37" w:name="_Toc535396701"/>
      <w:r>
        <w:t>证书检测</w:t>
      </w:r>
      <w:bookmarkEnd w:id="35"/>
      <w:bookmarkEnd w:id="36"/>
      <w:bookmarkEnd w:id="37"/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1、点击检测工具上方的“证书显示”按钮，可以对CA进行证书的检测，如图所示：</w:t>
      </w:r>
    </w:p>
    <w:p>
      <w:pPr>
        <w:ind w:firstLine="0" w:firstLineChars="0"/>
        <w:rPr>
          <w:spacing w:val="4"/>
        </w:rPr>
      </w:pPr>
      <w:r>
        <w:drawing>
          <wp:inline distT="0" distB="0" distL="0" distR="0">
            <wp:extent cx="5267325" cy="3324225"/>
            <wp:effectExtent l="0" t="0" r="9525" b="9525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  <w:ind w:left="1072" w:hanging="1072"/>
      </w:pPr>
      <w:bookmarkStart w:id="38" w:name="_Toc535396702"/>
      <w:bookmarkStart w:id="39" w:name="_Toc346183638"/>
      <w:bookmarkStart w:id="40" w:name="_Toc346701620"/>
      <w:r>
        <w:t>签章检测</w:t>
      </w:r>
      <w:bookmarkEnd w:id="38"/>
      <w:bookmarkEnd w:id="39"/>
      <w:bookmarkEnd w:id="40"/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1、点击检测工具上方的“签章显示”按钮，可以对CA进行签章的检测，如图所示：</w:t>
      </w:r>
    </w:p>
    <w:p>
      <w:pPr>
        <w:ind w:firstLine="0" w:firstLineChars="0"/>
        <w:rPr>
          <w:spacing w:val="4"/>
        </w:rPr>
      </w:pPr>
      <w:r>
        <w:drawing>
          <wp:inline distT="0" distB="0" distL="0" distR="0">
            <wp:extent cx="5303520" cy="3291840"/>
            <wp:effectExtent l="0" t="0" r="11430" b="381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 noChangeArrowheads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1" w:name="_Toc404764418"/>
      <w:bookmarkStart w:id="42" w:name="_Toc404243499"/>
      <w:bookmarkStart w:id="43" w:name="_Toc5968"/>
      <w:bookmarkStart w:id="44" w:name="_Toc346701621"/>
      <w:bookmarkStart w:id="45" w:name="_Toc346183639"/>
      <w:r>
        <w:t>浏览器配置</w:t>
      </w:r>
      <w:bookmarkEnd w:id="41"/>
      <w:bookmarkEnd w:id="42"/>
      <w:bookmarkEnd w:id="43"/>
      <w:bookmarkEnd w:id="44"/>
      <w:bookmarkEnd w:id="45"/>
    </w:p>
    <w:p>
      <w:pPr>
        <w:pStyle w:val="4"/>
      </w:pPr>
      <w:bookmarkStart w:id="46" w:name="_Toc404243500"/>
      <w:bookmarkStart w:id="47" w:name="_Toc346701622"/>
      <w:bookmarkStart w:id="48" w:name="_Toc346183640"/>
      <w:bookmarkStart w:id="49" w:name="_Toc20358"/>
      <w:bookmarkStart w:id="50" w:name="_Toc404764419"/>
      <w:r>
        <w:t>Internet选项</w:t>
      </w:r>
      <w:bookmarkEnd w:id="46"/>
      <w:bookmarkEnd w:id="47"/>
      <w:bookmarkEnd w:id="48"/>
      <w:bookmarkEnd w:id="49"/>
      <w:bookmarkEnd w:id="50"/>
    </w:p>
    <w:p>
      <w:pPr>
        <w:ind w:firstLine="420"/>
      </w:pPr>
      <w:r>
        <w:t>为了让系统插件能够正常工作，请按照以下步骤进行浏览器的配置。</w:t>
      </w:r>
    </w:p>
    <w:p>
      <w:pPr>
        <w:ind w:firstLine="420"/>
      </w:pPr>
      <w:r>
        <w:t>1、打开浏览器，在“工具”菜单→“Internet选项”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true" noChangeArrowheads="true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true" noChangeArrowheads="true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输入系统服务器的IP地址，格式例如：192.168.0.123，然后点击“添加”按钮完成添加，再按“关闭”按钮退出。</w:t>
      </w:r>
    </w:p>
    <w:p>
      <w:pPr>
        <w:ind w:firstLine="420"/>
      </w:pPr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ind w:firstLine="420"/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ind w:firstLine="420"/>
        <w:jc w:val="center"/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true" noChangeArrowheads="true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</w:pPr>
      <w:bookmarkStart w:id="51" w:name="_Toc29058"/>
      <w:bookmarkStart w:id="52" w:name="_Toc404243501"/>
      <w:bookmarkStart w:id="53" w:name="_Toc404764420"/>
      <w:bookmarkStart w:id="54" w:name="_Toc346701623"/>
      <w:bookmarkStart w:id="55" w:name="_Toc346183641"/>
      <w:r>
        <w:t>关闭拦截工具</w:t>
      </w:r>
      <w:bookmarkEnd w:id="51"/>
      <w:bookmarkEnd w:id="52"/>
      <w:bookmarkEnd w:id="53"/>
      <w:bookmarkEnd w:id="54"/>
      <w:bookmarkEnd w:id="55"/>
    </w:p>
    <w:p>
      <w:pPr>
        <w:ind w:firstLine="420"/>
      </w:pPr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56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true" noChangeArrowheads="true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6"/>
        <w:ind w:firstLine="480" w:firstLineChars="200"/>
        <w:jc w:val="center"/>
      </w:pPr>
    </w:p>
    <w:p>
      <w:pPr>
        <w:pStyle w:val="56"/>
        <w:ind w:firstLine="480" w:firstLineChars="200"/>
        <w:jc w:val="center"/>
      </w:pPr>
    </w:p>
    <w:p>
      <w:pPr>
        <w:pStyle w:val="2"/>
      </w:pPr>
      <w:bookmarkStart w:id="56" w:name="_Toc20514"/>
      <w:r>
        <w:rPr>
          <w:rFonts w:hint="eastAsia"/>
        </w:rPr>
        <w:t>土地拍卖</w:t>
      </w:r>
      <w:bookmarkEnd w:id="5"/>
      <w:bookmarkEnd w:id="56"/>
    </w:p>
    <w:p>
      <w:pPr>
        <w:ind w:firstLine="420"/>
      </w:pPr>
      <w:r>
        <w:rPr>
          <w:rFonts w:hint="eastAsia"/>
        </w:rPr>
        <w:t>1、</w:t>
      </w:r>
      <w:r>
        <w:t>打开</w:t>
      </w:r>
      <w:r>
        <w:rPr>
          <w:rFonts w:hint="eastAsia"/>
        </w:rPr>
        <w:t>“广元市公共资源交易平台”网址，如下图：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2494915"/>
            <wp:effectExtent l="0" t="0" r="1905" b="635"/>
            <wp:docPr id="2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2、输入用户名和密码后，点击“登录”按钮，进入系统；如下图：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62225"/>
            <wp:effectExtent l="0" t="0" r="10160" b="9525"/>
            <wp:docPr id="3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57" w:name="_Toc14644"/>
      <w:r>
        <w:rPr>
          <w:rFonts w:hint="eastAsia"/>
        </w:rPr>
        <w:t>土地申购</w:t>
      </w:r>
      <w:bookmarkEnd w:id="57"/>
    </w:p>
    <w:p>
      <w:pPr>
        <w:ind w:firstLine="422"/>
      </w:pPr>
      <w:r>
        <w:rPr>
          <w:b/>
        </w:rPr>
        <w:t>前提条件：</w:t>
      </w:r>
      <w:r>
        <w:rPr>
          <w:rFonts w:hint="eastAsia"/>
        </w:rPr>
        <w:t>土地出让公告发布成功。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申购土地。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1、点击“土地拍卖--土地申购”菜单，进入土地申购界面，如下图：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3171825"/>
            <wp:effectExtent l="0" t="0" r="10160" b="9525"/>
            <wp:docPr id="2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点击“地块详情”按钮，查看当前地块信息，如下图：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9685"/>
            <wp:effectExtent l="0" t="0" r="10160" b="12065"/>
            <wp:docPr id="3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6215" cy="1070610"/>
            <wp:effectExtent l="0" t="0" r="635" b="15240"/>
            <wp:docPr id="3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3、点击“我要申购”按钮，进入我要申购页面，如下图：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66690" cy="1286510"/>
            <wp:effectExtent l="0" t="0" r="10160" b="8890"/>
            <wp:docPr id="3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537970"/>
            <wp:effectExtent l="0" t="0" r="3810" b="5080"/>
            <wp:docPr id="3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4、填写完相关信息后，点击“新增报名”按钮，完成地块申购报名操作，如下图：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1557655"/>
            <wp:effectExtent l="0" t="0" r="635" b="4445"/>
            <wp:docPr id="3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58" w:name="_Toc14106"/>
      <w:r>
        <w:rPr>
          <w:rFonts w:hint="eastAsia"/>
        </w:rPr>
        <w:t>下载出让文件</w:t>
      </w:r>
      <w:bookmarkEnd w:id="58"/>
    </w:p>
    <w:p>
      <w:pPr>
        <w:ind w:firstLine="422"/>
      </w:pPr>
      <w:r>
        <w:rPr>
          <w:b/>
        </w:rPr>
        <w:t>前提条件：</w:t>
      </w:r>
      <w:r>
        <w:rPr>
          <w:rFonts w:hint="eastAsia"/>
        </w:rPr>
        <w:t>主体身份为土地矿权的竞买人。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  <w:bCs/>
        </w:rPr>
        <w:t>下载地块出让文件。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1、点击“土地拍卖--下载出让文件”，进入下载出让文件列表界面，如下图：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62225"/>
            <wp:effectExtent l="0" t="0" r="10160" b="9525"/>
            <wp:docPr id="4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2、点击“领取”按钮，领取土地出让文件，如下图：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78735"/>
            <wp:effectExtent l="0" t="0" r="10160" b="12065"/>
            <wp:docPr id="42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查看保证金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查看地块保证金信息和查询保证金是否到账。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pStyle w:val="129"/>
        <w:numPr>
          <w:ilvl w:val="0"/>
          <w:numId w:val="3"/>
        </w:numPr>
        <w:ind w:firstLineChars="0"/>
      </w:pPr>
      <w:r>
        <w:rPr>
          <w:rFonts w:hint="eastAsia"/>
        </w:rPr>
        <w:t>点击“土地拍卖--查看保证金</w:t>
      </w:r>
      <w:r>
        <w:t>”</w:t>
      </w:r>
      <w:r>
        <w:rPr>
          <w:rFonts w:hint="eastAsia"/>
        </w:rPr>
        <w:t>菜单，点击操作查看保证金子账号等信息。</w:t>
      </w:r>
    </w:p>
    <w:p>
      <w:pPr>
        <w:ind w:left="420" w:firstLine="0" w:firstLineChars="0"/>
      </w:pPr>
      <w:r>
        <w:drawing>
          <wp:inline distT="0" distB="0" distL="0" distR="0">
            <wp:extent cx="5278120" cy="1685925"/>
            <wp:effectExtent l="0" t="0" r="0" b="952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8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9"/>
        <w:numPr>
          <w:ilvl w:val="0"/>
          <w:numId w:val="3"/>
        </w:numPr>
        <w:ind w:firstLineChars="0"/>
      </w:pPr>
      <w:r>
        <w:rPr>
          <w:rFonts w:hint="eastAsia"/>
        </w:rPr>
        <w:t>缴纳保证金后，点击查询按钮，可查询保证金是否到账，到账后保证金缴纳状态会变成已缴纳</w:t>
      </w:r>
    </w:p>
    <w:p>
      <w:pPr>
        <w:ind w:left="420" w:firstLine="0" w:firstLineChars="0"/>
      </w:pPr>
      <w:r>
        <w:drawing>
          <wp:inline distT="0" distB="0" distL="0" distR="0">
            <wp:extent cx="5278120" cy="3160395"/>
            <wp:effectExtent l="0" t="0" r="0" b="190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9" w:name="_Toc31300"/>
      <w:r>
        <w:rPr>
          <w:rFonts w:hint="eastAsia"/>
        </w:rPr>
        <w:t>上传竞买资格申请</w:t>
      </w:r>
      <w:bookmarkEnd w:id="59"/>
    </w:p>
    <w:p>
      <w:pPr>
        <w:ind w:firstLine="422"/>
      </w:pPr>
      <w:r>
        <w:rPr>
          <w:b/>
        </w:rPr>
        <w:t>前提条件：</w:t>
      </w:r>
      <w:r>
        <w:rPr>
          <w:rFonts w:hint="eastAsia"/>
        </w:rPr>
        <w:t>土地出让文件下载成功。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上传地块申购的资格申请文件。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1、点击“土地拍卖--上传竞买资格申请”菜单，进入上传竞买资格申请界面，如下图：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75560"/>
            <wp:effectExtent l="0" t="0" r="10160" b="15240"/>
            <wp:docPr id="4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2、点击“操作”按钮，上传竞买资格申请文件，如下图：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75560"/>
            <wp:effectExtent l="0" t="0" r="10160" b="15240"/>
            <wp:docPr id="4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 xml:space="preserve">    3、填写完相关信息后，点击“电子件管理”按钮，上传电子件附件信息，如下图：  </w:t>
      </w:r>
    </w:p>
    <w:p>
      <w:pPr>
        <w:ind w:firstLine="0" w:firstLineChars="0"/>
      </w:pPr>
      <w:r>
        <w:drawing>
          <wp:inline distT="0" distB="0" distL="114300" distR="114300">
            <wp:extent cx="5266690" cy="2536190"/>
            <wp:effectExtent l="0" t="0" r="10160" b="16510"/>
            <wp:docPr id="45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0" w:name="_Toc422"/>
      <w:r>
        <w:rPr>
          <w:rFonts w:hint="eastAsia"/>
        </w:rPr>
        <w:t>报价</w:t>
      </w:r>
      <w:bookmarkEnd w:id="60"/>
      <w:r>
        <w:rPr>
          <w:rFonts w:hint="eastAsia"/>
        </w:rPr>
        <w:t>参与</w:t>
      </w:r>
    </w:p>
    <w:p>
      <w:pPr>
        <w:ind w:firstLine="422"/>
      </w:pPr>
      <w:r>
        <w:rPr>
          <w:b/>
        </w:rPr>
        <w:t>前提条件：</w:t>
      </w:r>
      <w:r>
        <w:rPr>
          <w:rFonts w:hint="eastAsia"/>
        </w:rPr>
        <w:t>地块申购、缴纳保证金和上传竞买资格申请成功。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地块申购报价。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1、点击“土地拍卖--网员报价”菜单，进入网元报价界面，该页面只可查询，如下图：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81275"/>
            <wp:effectExtent l="0" t="0" r="10160" b="9525"/>
            <wp:docPr id="46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2、点击“竞价状态”按钮，挑选地块申购的竞价状态界面，如下图：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6510"/>
            <wp:effectExtent l="0" t="0" r="10160" b="15240"/>
            <wp:docPr id="47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3、对地块申购报价信息进行操作，点击“正在竞价”状态的“操作”按钮，能进入竞价页面进行竞价；点击“竞价结束”状态的“操作”按钮，查询标的历史竞价信息。如下图：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48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040" cy="1062355"/>
            <wp:effectExtent l="0" t="0" r="3810" b="4445"/>
            <wp:docPr id="49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报价页面</w:t>
      </w:r>
    </w:p>
    <w:p>
      <w:pPr>
        <w:ind w:firstLine="0" w:firstLineChars="0"/>
      </w:pPr>
      <w:r>
        <w:rPr>
          <w:rFonts w:hint="eastAsia"/>
        </w:rPr>
        <w:t>1、点击操作按钮进入竞价页面后，首先需要阅读风险告知确认书，并确认。</w:t>
      </w:r>
      <w:r>
        <w:rPr>
          <w:rFonts w:hint="eastAsia"/>
        </w:rPr>
        <w:tab/>
      </w:r>
    </w:p>
    <w:p>
      <w:pPr>
        <w:ind w:firstLine="0" w:firstLineChars="0"/>
      </w:pPr>
      <w:r>
        <w:drawing>
          <wp:inline distT="0" distB="0" distL="0" distR="0">
            <wp:extent cx="5278120" cy="2473960"/>
            <wp:effectExtent l="0" t="0" r="0" b="254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2、进入报价页面后，可查看当前报价情况，并参与报价。</w:t>
      </w:r>
    </w:p>
    <w:p>
      <w:pPr>
        <w:ind w:firstLine="0" w:firstLineChars="0"/>
      </w:pPr>
      <w:r>
        <w:drawing>
          <wp:inline distT="0" distB="0" distL="0" distR="0">
            <wp:extent cx="5278120" cy="3205480"/>
            <wp:effectExtent l="0" t="0" r="0" b="0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0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sym w:font="Wingdings 2" w:char="F075"/>
      </w:r>
      <w:r>
        <w:rPr>
          <w:rFonts w:hint="eastAsia"/>
        </w:rPr>
        <w:t>、报价方式一：快速报价</w:t>
      </w:r>
    </w:p>
    <w:p>
      <w:pPr>
        <w:ind w:firstLine="0" w:firstLineChars="0"/>
      </w:pPr>
      <w:r>
        <w:rPr>
          <w:rFonts w:hint="eastAsia"/>
        </w:rPr>
        <w:t>点击快速报价后，将会自动默认在当前价格的基础上，按项目设置的步长标准，以增加一倍的标准进行报价。可通过“取消”按钮放弃此次报价行为，如果选择“确认”，则成功报价，并且无法撤回或更改。</w:t>
      </w:r>
    </w:p>
    <w:p>
      <w:pPr>
        <w:ind w:firstLine="0" w:firstLineChars="0"/>
      </w:pPr>
      <w:r>
        <w:drawing>
          <wp:inline distT="0" distB="0" distL="0" distR="0">
            <wp:extent cx="5278120" cy="3286760"/>
            <wp:effectExtent l="0" t="0" r="0" b="8890"/>
            <wp:docPr id="3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8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sym w:font="Wingdings 2" w:char="F076"/>
      </w:r>
      <w:r>
        <w:rPr>
          <w:rFonts w:hint="eastAsia"/>
        </w:rPr>
        <w:t>、报价方式二：委托报价</w:t>
      </w:r>
    </w:p>
    <w:p>
      <w:pPr>
        <w:ind w:firstLine="0" w:firstLineChars="0"/>
      </w:pPr>
      <w:r>
        <w:rPr>
          <w:rFonts w:hint="eastAsia"/>
        </w:rPr>
        <w:t>①、点击委托报价方式，进入委托页面。确认委托报价时间间隔和最高报价，并确认委托报价书。</w:t>
      </w:r>
    </w:p>
    <w:p>
      <w:pPr>
        <w:ind w:firstLine="0" w:firstLineChars="0"/>
      </w:pPr>
      <w:r>
        <w:rPr>
          <w:rFonts w:hint="eastAsia"/>
        </w:rPr>
        <w:t>②、具体报价方式：根据系统时间为准，每个时间间隔后，会自动判断当前最高报价是否为本公司。</w:t>
      </w:r>
    </w:p>
    <w:p>
      <w:pPr>
        <w:ind w:firstLine="0" w:firstLineChars="0"/>
      </w:pPr>
      <w:r>
        <w:rPr>
          <w:rFonts w:hint="eastAsia"/>
        </w:rPr>
        <w:t>如果“是本公司”，则不会再次报价。</w:t>
      </w:r>
    </w:p>
    <w:p>
      <w:pPr>
        <w:ind w:firstLine="0" w:firstLineChars="0"/>
      </w:pPr>
      <w:r>
        <w:rPr>
          <w:rFonts w:hint="eastAsia"/>
        </w:rPr>
        <w:t>如果“不是本公司”，则会在当前最高报价的基础上，按照设定的竞价步长，增加1倍进行自动报价。</w:t>
      </w:r>
    </w:p>
    <w:p>
      <w:pPr>
        <w:ind w:firstLine="0" w:firstLineChars="0"/>
      </w:pPr>
      <w:r>
        <w:rPr>
          <w:rFonts w:hint="eastAsia"/>
        </w:rPr>
        <w:t>（如果此次报价金额超过预设的委托最高价，则不会再进行报价）</w:t>
      </w:r>
    </w:p>
    <w:p>
      <w:pPr>
        <w:ind w:firstLine="407" w:firstLineChars="194"/>
      </w:pPr>
      <w:r>
        <w:rPr>
          <w:rFonts w:hint="eastAsia"/>
        </w:rPr>
        <w:t>委托报价时间间隔：系统自动报价的时间间隔。</w:t>
      </w:r>
    </w:p>
    <w:p>
      <w:pPr>
        <w:ind w:firstLine="407" w:firstLineChars="194"/>
      </w:pPr>
      <w:r>
        <w:rPr>
          <w:rFonts w:hint="eastAsia"/>
        </w:rPr>
        <w:t>委托最高价小写：系统自动报价的最高限制价格。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8120" cy="3253740"/>
            <wp:effectExtent l="0" t="0" r="0" b="3810"/>
            <wp:docPr id="40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5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8120" cy="4225290"/>
            <wp:effectExtent l="0" t="0" r="0" b="3810"/>
            <wp:docPr id="50" name="图片 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</w:pPr>
      <w:r>
        <w:rPr>
          <w:rFonts w:hint="eastAsia"/>
        </w:rPr>
        <w:t>③、确认委托后，可以通过取消委托按钮来取消自动报价。但已经发生的自动报价行为将无法撤回。</w:t>
      </w:r>
    </w:p>
    <w:p>
      <w:pPr>
        <w:ind w:firstLine="0" w:firstLineChars="0"/>
      </w:pPr>
      <w:r>
        <w:drawing>
          <wp:inline distT="0" distB="0" distL="0" distR="0">
            <wp:extent cx="5278120" cy="3033395"/>
            <wp:effectExtent l="0" t="0" r="0" b="0"/>
            <wp:docPr id="51" name="图片 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3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sym w:font="Wingdings 2" w:char="F077"/>
      </w:r>
      <w:r>
        <w:rPr>
          <w:rFonts w:hint="eastAsia"/>
        </w:rPr>
        <w:t>、报价方式三：提交报价</w:t>
      </w:r>
    </w:p>
    <w:p>
      <w:pPr>
        <w:ind w:firstLine="0" w:firstLineChars="0"/>
      </w:pPr>
      <w:r>
        <w:rPr>
          <w:rFonts w:hint="eastAsia"/>
        </w:rPr>
        <w:t>①、选择红框中已经设定好的竞价步长数值，点击后左下方箭头处会出现此次报价金额，提交前可自行更改。如已确认金额，可通过点击“提交报价”按钮进行确认，成功后即完成此次报价。</w:t>
      </w:r>
    </w:p>
    <w:p>
      <w:pPr>
        <w:ind w:firstLine="0" w:firstLineChars="0"/>
      </w:pPr>
      <w:r>
        <w:drawing>
          <wp:inline distT="0" distB="0" distL="0" distR="0">
            <wp:extent cx="5278120" cy="3234055"/>
            <wp:effectExtent l="0" t="0" r="0" b="4445"/>
            <wp:docPr id="52" name="图片 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3、点击左上角按钮，可以查看本项目竞价概况和当前报价记录。</w:t>
      </w:r>
    </w:p>
    <w:p>
      <w:pPr>
        <w:ind w:firstLine="0" w:firstLineChars="0"/>
      </w:pPr>
      <w:r>
        <w:drawing>
          <wp:inline distT="0" distB="0" distL="0" distR="0">
            <wp:extent cx="5278120" cy="3282315"/>
            <wp:effectExtent l="0" t="0" r="0" b="0"/>
            <wp:docPr id="57" name="图片 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8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1" w:name="_Toc8851"/>
      <w:r>
        <w:rPr>
          <w:rFonts w:hint="eastAsia"/>
        </w:rPr>
        <w:t>报价历史记录</w:t>
      </w:r>
      <w:bookmarkEnd w:id="61"/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记录报价历史。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1、点击“土地拍卖--报价历史记录”菜单，进入报价历史记录列表，如下图：</w:t>
      </w:r>
    </w:p>
    <w:p>
      <w:pPr>
        <w:ind w:firstLine="199" w:firstLineChars="95"/>
      </w:pPr>
      <w:r>
        <w:drawing>
          <wp:inline distT="0" distB="0" distL="114300" distR="114300">
            <wp:extent cx="5266690" cy="2564765"/>
            <wp:effectExtent l="0" t="0" r="10160" b="6985"/>
            <wp:docPr id="53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  <w:r>
        <w:rPr>
          <w:rFonts w:hint="eastAsia"/>
        </w:rPr>
        <w:t>2、点击“操作”查看当前地块历史报价信息，如下图：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54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0"/>
                    <pic:cNvPicPr>
                      <a:picLocks noChangeAspect="true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923290"/>
            <wp:effectExtent l="0" t="0" r="15875" b="10160"/>
            <wp:docPr id="55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true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3"/>
      </w:pPr>
      <w:bookmarkStart w:id="62" w:name="_Toc23936"/>
      <w:r>
        <w:rPr>
          <w:rFonts w:hint="eastAsia"/>
        </w:rPr>
        <w:t>成交确认书</w:t>
      </w:r>
      <w:bookmarkEnd w:id="62"/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查看成交确认书。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1、点击“土地拍卖--成交确认书”菜单，进入成交确认书界面，如下图：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9685"/>
            <wp:effectExtent l="0" t="0" r="10160" b="12065"/>
            <wp:docPr id="56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true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199" w:firstLineChars="95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altName w:val="Times New Roman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新魏">
    <w:altName w:val="方正魏碑_GBK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方正魏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    0512-58188000                  </w:t>
    </w:r>
    <w:r>
      <w:fldChar w:fldCharType="begin"/>
    </w:r>
    <w:r>
      <w:instrText xml:space="preserve"> PAGE </w:instrText>
    </w:r>
    <w:r>
      <w:fldChar w:fldCharType="separate"/>
    </w:r>
    <w:r>
      <w:t>23</w:t>
    </w:r>
    <w:r>
      <w:fldChar w:fldCharType="end"/>
    </w:r>
    <w:r>
      <w:rPr>
        <w:lang w:val="zh-CN"/>
      </w:rPr>
      <w:t>/</w:t>
    </w:r>
    <w:r>
      <w:rPr>
        <w:rFonts w:hint="eastAsia"/>
      </w:rPr>
      <w:t>24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596265" cy="302260"/>
          <wp:effectExtent l="0" t="0" r="13335" b="2540"/>
          <wp:docPr id="22" name="图片 1"/>
          <wp:cNvGraphicFramePr>
            <a:graphicFrameLocks xmlns:a="http://schemas.openxmlformats.org/drawingml/2006/main" noChangeAspect="tru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1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3022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土地交易投标人</w:t>
    </w:r>
    <w:r>
      <w:rPr>
        <w:rFonts w:hint="eastAsia" w:ascii="Cambria" w:hAnsi="Cambria"/>
      </w:rPr>
      <w:t xml:space="preserve">操作手册  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>张家港</w:t>
    </w:r>
    <w:r>
      <w:rPr>
        <w:color w:val="000000"/>
      </w:rPr>
      <w:t>市20</w:t>
    </w:r>
    <w:r>
      <w:rPr>
        <w:rFonts w:hint="eastAsia"/>
        <w:color w:val="000000"/>
      </w:rPr>
      <w:t xml:space="preserve">13021904-CQJY60302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2E15A3"/>
    <w:multiLevelType w:val="singleLevel"/>
    <w:tmpl w:val="F82E15A3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7F6C2064"/>
    <w:multiLevelType w:val="multilevel"/>
    <w:tmpl w:val="7F6C2064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true"/>
  <w:bordersDoNotSurroundFooter w:val="true"/>
  <w:doNotTrackMoves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88"/>
    <w:rsid w:val="00004633"/>
    <w:rsid w:val="00013294"/>
    <w:rsid w:val="000B40C2"/>
    <w:rsid w:val="000F3B71"/>
    <w:rsid w:val="001000DF"/>
    <w:rsid w:val="00145037"/>
    <w:rsid w:val="00147E93"/>
    <w:rsid w:val="001547C1"/>
    <w:rsid w:val="00185D40"/>
    <w:rsid w:val="001C5A93"/>
    <w:rsid w:val="001F6623"/>
    <w:rsid w:val="0020501C"/>
    <w:rsid w:val="00226B1C"/>
    <w:rsid w:val="00232281"/>
    <w:rsid w:val="00247032"/>
    <w:rsid w:val="00280F22"/>
    <w:rsid w:val="002B0FB5"/>
    <w:rsid w:val="002B7A4A"/>
    <w:rsid w:val="002D4054"/>
    <w:rsid w:val="002E5D00"/>
    <w:rsid w:val="002F2448"/>
    <w:rsid w:val="00300A3F"/>
    <w:rsid w:val="00321617"/>
    <w:rsid w:val="00393499"/>
    <w:rsid w:val="003948A0"/>
    <w:rsid w:val="003A6587"/>
    <w:rsid w:val="003B5B1D"/>
    <w:rsid w:val="003D18A7"/>
    <w:rsid w:val="00453B44"/>
    <w:rsid w:val="004752DC"/>
    <w:rsid w:val="004B619E"/>
    <w:rsid w:val="004C2DAA"/>
    <w:rsid w:val="004E2260"/>
    <w:rsid w:val="004F479E"/>
    <w:rsid w:val="00500F60"/>
    <w:rsid w:val="005074D7"/>
    <w:rsid w:val="00521983"/>
    <w:rsid w:val="005270F3"/>
    <w:rsid w:val="00537729"/>
    <w:rsid w:val="0054218A"/>
    <w:rsid w:val="00546F00"/>
    <w:rsid w:val="005A0688"/>
    <w:rsid w:val="005B519D"/>
    <w:rsid w:val="005C0ADE"/>
    <w:rsid w:val="005D1AA2"/>
    <w:rsid w:val="00654E61"/>
    <w:rsid w:val="00717038"/>
    <w:rsid w:val="00732CCC"/>
    <w:rsid w:val="0073732B"/>
    <w:rsid w:val="007A1DF1"/>
    <w:rsid w:val="007A4A86"/>
    <w:rsid w:val="007B11DD"/>
    <w:rsid w:val="007C5027"/>
    <w:rsid w:val="007C5497"/>
    <w:rsid w:val="007D08F9"/>
    <w:rsid w:val="007D4746"/>
    <w:rsid w:val="007E656A"/>
    <w:rsid w:val="008030DC"/>
    <w:rsid w:val="0085355E"/>
    <w:rsid w:val="00866D53"/>
    <w:rsid w:val="00874F2C"/>
    <w:rsid w:val="008E2C44"/>
    <w:rsid w:val="008F633F"/>
    <w:rsid w:val="009053C0"/>
    <w:rsid w:val="0090560A"/>
    <w:rsid w:val="009A2C72"/>
    <w:rsid w:val="009B28ED"/>
    <w:rsid w:val="009D7B93"/>
    <w:rsid w:val="00A003B1"/>
    <w:rsid w:val="00A12473"/>
    <w:rsid w:val="00AC7FDA"/>
    <w:rsid w:val="00AD4653"/>
    <w:rsid w:val="00AE2079"/>
    <w:rsid w:val="00AF5115"/>
    <w:rsid w:val="00B11699"/>
    <w:rsid w:val="00B14B11"/>
    <w:rsid w:val="00BB125F"/>
    <w:rsid w:val="00BB2F4C"/>
    <w:rsid w:val="00BB309A"/>
    <w:rsid w:val="00BD46B7"/>
    <w:rsid w:val="00BE2AAE"/>
    <w:rsid w:val="00C071F0"/>
    <w:rsid w:val="00C07F09"/>
    <w:rsid w:val="00C3687B"/>
    <w:rsid w:val="00C43083"/>
    <w:rsid w:val="00C74761"/>
    <w:rsid w:val="00CB4AB2"/>
    <w:rsid w:val="00CD11B8"/>
    <w:rsid w:val="00D02373"/>
    <w:rsid w:val="00D045AB"/>
    <w:rsid w:val="00D15159"/>
    <w:rsid w:val="00D21799"/>
    <w:rsid w:val="00D7628E"/>
    <w:rsid w:val="00DC14E7"/>
    <w:rsid w:val="00DD1150"/>
    <w:rsid w:val="00DE0092"/>
    <w:rsid w:val="00E0104C"/>
    <w:rsid w:val="00E13FAC"/>
    <w:rsid w:val="00E243F5"/>
    <w:rsid w:val="00E26D98"/>
    <w:rsid w:val="00E53785"/>
    <w:rsid w:val="00E63E60"/>
    <w:rsid w:val="00E75B61"/>
    <w:rsid w:val="00E92709"/>
    <w:rsid w:val="00F10E18"/>
    <w:rsid w:val="00F2777E"/>
    <w:rsid w:val="00F33B22"/>
    <w:rsid w:val="00F4518D"/>
    <w:rsid w:val="00F8089F"/>
    <w:rsid w:val="00F86FF7"/>
    <w:rsid w:val="00F96DA4"/>
    <w:rsid w:val="00FA40A3"/>
    <w:rsid w:val="00FF3F66"/>
    <w:rsid w:val="00FF7A33"/>
    <w:rsid w:val="0543073D"/>
    <w:rsid w:val="0742212A"/>
    <w:rsid w:val="0CF51FCE"/>
    <w:rsid w:val="13AF4A8D"/>
    <w:rsid w:val="154753D5"/>
    <w:rsid w:val="21357384"/>
    <w:rsid w:val="21BE3491"/>
    <w:rsid w:val="24F530D5"/>
    <w:rsid w:val="25A71E80"/>
    <w:rsid w:val="278E1FAB"/>
    <w:rsid w:val="279D4D6C"/>
    <w:rsid w:val="2B9172EF"/>
    <w:rsid w:val="32D83535"/>
    <w:rsid w:val="432D37B5"/>
    <w:rsid w:val="4680369F"/>
    <w:rsid w:val="49096704"/>
    <w:rsid w:val="4D9A5FD7"/>
    <w:rsid w:val="4DF049C5"/>
    <w:rsid w:val="4DF90A65"/>
    <w:rsid w:val="4DFD738A"/>
    <w:rsid w:val="4FAB03A6"/>
    <w:rsid w:val="51254820"/>
    <w:rsid w:val="53B96F99"/>
    <w:rsid w:val="53BE355D"/>
    <w:rsid w:val="557063B1"/>
    <w:rsid w:val="5B4720F4"/>
    <w:rsid w:val="5B5F1988"/>
    <w:rsid w:val="5EB660E7"/>
    <w:rsid w:val="624F6945"/>
    <w:rsid w:val="69070722"/>
    <w:rsid w:val="6B8B6DEE"/>
    <w:rsid w:val="77CE69A8"/>
    <w:rsid w:val="7A484243"/>
    <w:rsid w:val="7D2E4B19"/>
    <w:rsid w:val="7F3D587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qFormat/>
    <w:uiPriority w:val="0"/>
    <w:pPr>
      <w:spacing w:after="120"/>
    </w:pPr>
  </w:style>
  <w:style w:type="paragraph" w:styleId="18">
    <w:name w:val="Body Text Indent"/>
    <w:basedOn w:val="1"/>
    <w:link w:val="92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qFormat/>
    <w:uiPriority w:val="0"/>
    <w:rPr>
      <w:sz w:val="18"/>
      <w:szCs w:val="18"/>
    </w:rPr>
  </w:style>
  <w:style w:type="paragraph" w:styleId="26">
    <w:name w:val="footer"/>
    <w:basedOn w:val="1"/>
    <w:link w:val="9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paragraph" w:customStyle="1" w:styleId="4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qFormat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qFormat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qFormat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99">
    <w:name w:val="14_black1"/>
    <w:qFormat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3">
    <w:name w:val="f141"/>
    <w:qFormat/>
    <w:uiPriority w:val="0"/>
    <w:rPr>
      <w:sz w:val="21"/>
      <w:szCs w:val="21"/>
    </w:rPr>
  </w:style>
  <w:style w:type="character" w:customStyle="1" w:styleId="104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qFormat/>
    <w:uiPriority w:val="0"/>
    <w:rPr>
      <w:kern w:val="2"/>
      <w:sz w:val="24"/>
      <w:szCs w:val="24"/>
    </w:rPr>
  </w:style>
  <w:style w:type="paragraph" w:customStyle="1" w:styleId="128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9">
    <w:name w:val="List Paragraph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24</Pages>
  <Words>555</Words>
  <Characters>3165</Characters>
  <Lines>26</Lines>
  <Paragraphs>7</Paragraphs>
  <TotalTime>0</TotalTime>
  <ScaleCrop>false</ScaleCrop>
  <LinksUpToDate>false</LinksUpToDate>
  <CharactersWithSpaces>3713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2023-07-05T16:49:00Z</dcterms:created>
  <dc:creator>yuanxun</dc:creator>
  <cp:lastModifiedBy>user</cp:lastModifiedBy>
  <dcterms:modified xsi:type="dcterms:W3CDTF">2023-08-25T14:13:23Z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